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95B" w:rsidRDefault="0054795B" w:rsidP="0054795B">
      <w:r>
        <w:t>Контрольная работа по дисциплине «Управление проектами»</w:t>
      </w:r>
    </w:p>
    <w:p w:rsidR="0054795B" w:rsidRDefault="0054795B">
      <w:pPr>
        <w:spacing w:after="200" w:line="276" w:lineRule="auto"/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741862242"/>
        <w:docPartObj>
          <w:docPartGallery w:val="Table of Contents"/>
          <w:docPartUnique/>
        </w:docPartObj>
      </w:sdtPr>
      <w:sdtEndPr/>
      <w:sdtContent>
        <w:p w:rsidR="0054795B" w:rsidRDefault="0054795B" w:rsidP="0054795B">
          <w:pPr>
            <w:pStyle w:val="a3"/>
            <w:jc w:val="center"/>
          </w:pPr>
          <w:r>
            <w:t>Оглавление</w:t>
          </w:r>
        </w:p>
        <w:p w:rsidR="0054795B" w:rsidRPr="0054795B" w:rsidRDefault="0054795B" w:rsidP="0054795B">
          <w:pPr>
            <w:rPr>
              <w:lang w:eastAsia="ru-RU"/>
            </w:rPr>
          </w:pPr>
        </w:p>
        <w:p w:rsidR="00A10F55" w:rsidRDefault="0054795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A10F55" w:rsidRPr="00FB7A1B">
            <w:rPr>
              <w:rStyle w:val="a4"/>
              <w:noProof/>
            </w:rPr>
            <w:fldChar w:fldCharType="begin"/>
          </w:r>
          <w:r w:rsidR="00A10F55" w:rsidRPr="00FB7A1B">
            <w:rPr>
              <w:rStyle w:val="a4"/>
              <w:noProof/>
            </w:rPr>
            <w:instrText xml:space="preserve"> </w:instrText>
          </w:r>
          <w:r w:rsidR="00A10F55">
            <w:rPr>
              <w:noProof/>
            </w:rPr>
            <w:instrText>HYPERLINK \l "_Toc87954690"</w:instrText>
          </w:r>
          <w:r w:rsidR="00A10F55" w:rsidRPr="00FB7A1B">
            <w:rPr>
              <w:rStyle w:val="a4"/>
              <w:noProof/>
            </w:rPr>
            <w:instrText xml:space="preserve"> </w:instrText>
          </w:r>
          <w:r w:rsidR="00A10F55" w:rsidRPr="00FB7A1B">
            <w:rPr>
              <w:rStyle w:val="a4"/>
              <w:noProof/>
            </w:rPr>
          </w:r>
          <w:r w:rsidR="00A10F55" w:rsidRPr="00FB7A1B">
            <w:rPr>
              <w:rStyle w:val="a4"/>
              <w:noProof/>
            </w:rPr>
            <w:fldChar w:fldCharType="separate"/>
          </w:r>
          <w:r w:rsidR="00A10F55" w:rsidRPr="00FB7A1B">
            <w:rPr>
              <w:rStyle w:val="a4"/>
              <w:noProof/>
            </w:rPr>
            <w:t>Семинар 5</w:t>
          </w:r>
          <w:r w:rsidR="00A10F55">
            <w:rPr>
              <w:noProof/>
              <w:webHidden/>
            </w:rPr>
            <w:tab/>
          </w:r>
          <w:r w:rsidR="00A10F55">
            <w:rPr>
              <w:noProof/>
              <w:webHidden/>
            </w:rPr>
            <w:fldChar w:fldCharType="begin"/>
          </w:r>
          <w:r w:rsidR="00A10F55">
            <w:rPr>
              <w:noProof/>
              <w:webHidden/>
            </w:rPr>
            <w:instrText xml:space="preserve"> PAGEREF _Toc87954690 \h </w:instrText>
          </w:r>
          <w:r w:rsidR="00A10F55">
            <w:rPr>
              <w:noProof/>
              <w:webHidden/>
            </w:rPr>
          </w:r>
          <w:r w:rsidR="00A10F55">
            <w:rPr>
              <w:noProof/>
              <w:webHidden/>
            </w:rPr>
            <w:fldChar w:fldCharType="separate"/>
          </w:r>
          <w:r w:rsidR="00A10F55">
            <w:rPr>
              <w:noProof/>
              <w:webHidden/>
            </w:rPr>
            <w:t>3</w:t>
          </w:r>
          <w:r w:rsidR="00A10F55">
            <w:rPr>
              <w:noProof/>
              <w:webHidden/>
            </w:rPr>
            <w:fldChar w:fldCharType="end"/>
          </w:r>
          <w:r w:rsidR="00A10F55" w:rsidRPr="00FB7A1B">
            <w:rPr>
              <w:rStyle w:val="a4"/>
              <w:noProof/>
            </w:rPr>
            <w:fldChar w:fldCharType="end"/>
          </w:r>
        </w:p>
        <w:p w:rsidR="00A10F55" w:rsidRDefault="00A10F5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7954691" w:history="1">
            <w:r w:rsidRPr="00FB7A1B">
              <w:rPr>
                <w:rStyle w:val="a4"/>
                <w:noProof/>
              </w:rPr>
              <w:t>Задание 5.1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_Toc87954691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0F55" w:rsidRDefault="00A10F5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7954692" w:history="1">
            <w:r w:rsidRPr="00FB7A1B">
              <w:rPr>
                <w:rStyle w:val="a4"/>
                <w:noProof/>
              </w:rPr>
              <w:t>Задание 5.2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_Toc87954692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0F55" w:rsidRDefault="00A10F5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7954693" w:history="1">
            <w:r w:rsidRPr="00FB7A1B">
              <w:rPr>
                <w:rStyle w:val="a4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_Toc87954693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795B" w:rsidRDefault="0054795B">
          <w:r>
            <w:rPr>
              <w:b/>
              <w:bCs/>
            </w:rPr>
            <w:fldChar w:fldCharType="end"/>
          </w:r>
        </w:p>
      </w:sdtContent>
    </w:sdt>
    <w:p w:rsidR="0054795B" w:rsidRDefault="0054795B" w:rsidP="0054795B"/>
    <w:p w:rsidR="0054795B" w:rsidRDefault="0054795B" w:rsidP="0054795B">
      <w:pPr>
        <w:spacing w:line="276" w:lineRule="auto"/>
        <w:jc w:val="left"/>
      </w:pPr>
      <w:r>
        <w:br w:type="page"/>
      </w:r>
    </w:p>
    <w:p w:rsidR="00A10F55" w:rsidRDefault="00A10F55" w:rsidP="00A10F55">
      <w:pPr>
        <w:pStyle w:val="1"/>
      </w:pPr>
      <w:bookmarkStart w:id="1" w:name="_Toc87954690"/>
      <w:r>
        <w:lastRenderedPageBreak/>
        <w:t>Семинар 5</w:t>
      </w:r>
      <w:bookmarkEnd w:id="1"/>
    </w:p>
    <w:p w:rsidR="00A10F55" w:rsidRDefault="00A10F55" w:rsidP="00A10F55">
      <w:pPr>
        <w:pStyle w:val="1"/>
      </w:pPr>
      <w:bookmarkStart w:id="2" w:name="_Toc87954691"/>
      <w:r>
        <w:t>Задание 5.1</w:t>
      </w:r>
      <w:bookmarkEnd w:id="2"/>
    </w:p>
    <w:p w:rsidR="00A10F55" w:rsidRDefault="00A10F55" w:rsidP="00A10F55">
      <w:pPr>
        <w:ind w:firstLine="709"/>
      </w:pPr>
      <w:r>
        <w:rPr>
          <w:rStyle w:val="a7"/>
        </w:rPr>
        <w:t>Команда проекта</w:t>
      </w:r>
      <w:r>
        <w:t xml:space="preserve"> — организационная структура, создаваемая руководителем проекта на период его осуществления, призванная обеспечивать максимально эффективное достижение поставленных целей и решение проектных задач.</w:t>
      </w:r>
    </w:p>
    <w:p w:rsidR="00A10F55" w:rsidRDefault="00A10F55" w:rsidP="00A10F55">
      <w:pPr>
        <w:ind w:firstLine="709"/>
      </w:pPr>
      <w:r>
        <w:rPr>
          <w:rStyle w:val="a7"/>
        </w:rPr>
        <w:t>Команда управления проектом</w:t>
      </w:r>
      <w:r>
        <w:t xml:space="preserve"> - специфическая организационная структура, возглавляемая управляющим (главным менеджером) проекта и создаваемая на период осуществления проекта. Главная задача команды управления проектом – осуществление функций управления проектом для эффективного достижения целей проекта.</w:t>
      </w:r>
    </w:p>
    <w:p w:rsidR="00A10F55" w:rsidRDefault="00A10F55" w:rsidP="00A10F55">
      <w:pPr>
        <w:ind w:firstLine="709"/>
      </w:pPr>
      <w:r>
        <w:rPr>
          <w:i/>
          <w:iCs/>
        </w:rPr>
        <w:t>Команда проекта</w:t>
      </w:r>
      <w:r>
        <w:t xml:space="preserve"> — совокупность отдельных лиц, групп и/или организаций, привлеченных для выполнения всех работ проекта и ответственных перед руководителем проекта за их выполнение.</w:t>
      </w:r>
    </w:p>
    <w:p w:rsidR="00A10F55" w:rsidRDefault="00A10F55" w:rsidP="00A10F55">
      <w:pPr>
        <w:ind w:firstLine="709"/>
      </w:pPr>
      <w:r>
        <w:t xml:space="preserve">Для успешной реализации проекта большое значение имеет формирование </w:t>
      </w:r>
      <w:r>
        <w:rPr>
          <w:i/>
          <w:iCs/>
        </w:rPr>
        <w:t>эффективной команды</w:t>
      </w:r>
      <w:r>
        <w:t>. Она является специфической организационной структурой, которая формируется на время жизненного цикла проекта. От того насколько успешно сформирована команда и насколько эффективно работают участники, от профессиональных, организационных и личностных качеств каждого участника зависит результат управления.</w:t>
      </w:r>
    </w:p>
    <w:p w:rsidR="00A10F55" w:rsidRDefault="00A10F55" w:rsidP="00A10F55">
      <w:pPr>
        <w:ind w:firstLine="709"/>
      </w:pPr>
      <w:r>
        <w:t>Исследования показывают, что существует набор факторов, которые серьезно влияют на эффективность работы команды. Это как внешние, так и внутренние факторы. Наиболее подходящими условиями, в которых быстро развивается эффективная команда, признаны следующие:</w:t>
      </w:r>
    </w:p>
    <w:p w:rsidR="00A10F55" w:rsidRDefault="00A10F55" w:rsidP="00A10F55">
      <w:pPr>
        <w:numPr>
          <w:ilvl w:val="0"/>
          <w:numId w:val="12"/>
        </w:numPr>
        <w:ind w:left="0" w:firstLine="709"/>
      </w:pPr>
      <w:r>
        <w:t>В команде не более семи—девяти человек. Норма управляемости определена специалистами в семь человек. Если подчиненных больше, необходимо создавать отделы. Возникновение дополнительных уровней управления может негативно отразиться на эффективности команды.</w:t>
      </w:r>
    </w:p>
    <w:p w:rsidR="00A10F55" w:rsidRDefault="00A10F55" w:rsidP="00A10F55">
      <w:pPr>
        <w:numPr>
          <w:ilvl w:val="0"/>
          <w:numId w:val="12"/>
        </w:numPr>
        <w:ind w:left="0" w:firstLine="709"/>
      </w:pPr>
      <w:r>
        <w:lastRenderedPageBreak/>
        <w:t>Члены команды подчинены непосредственно менеджеру проекта. Матричная структура иногда предполагает рабочее взаимодействие между менеджером и членом команды через функционального руководителя последнего. В некоторых случаях это мешает установлению рабочего контакта, оперативной и эффективной работе.</w:t>
      </w:r>
    </w:p>
    <w:p w:rsidR="00A10F55" w:rsidRDefault="00A10F55" w:rsidP="00A10F55">
      <w:pPr>
        <w:numPr>
          <w:ilvl w:val="0"/>
          <w:numId w:val="12"/>
        </w:numPr>
        <w:ind w:left="0" w:firstLine="709"/>
      </w:pPr>
      <w:r>
        <w:t>Проектная организационная структура проекта. Члены команды задействованы в проекте на 100% загрузки, на полный рабочий день. Отвлечение на внепроектные задачи может расхолаживать и снижать эффективность членов команды.</w:t>
      </w:r>
    </w:p>
    <w:p w:rsidR="00A10F55" w:rsidRDefault="00A10F55" w:rsidP="00A10F55">
      <w:pPr>
        <w:numPr>
          <w:ilvl w:val="0"/>
          <w:numId w:val="12"/>
        </w:numPr>
        <w:ind w:left="0" w:firstLine="709"/>
      </w:pPr>
      <w:r>
        <w:t>Члены команды работают в проекте от начала до самого конца, сотрудники не сменяются в ходе проекта. Они участвуют в процессах целеполагания и впоследствии могут наблюдать получение итоговых результатов проекта. Члены команды могут видеть результаты своего труда и гордиться ими.</w:t>
      </w:r>
    </w:p>
    <w:p w:rsidR="00A10F55" w:rsidRDefault="00A10F55" w:rsidP="00A10F55">
      <w:pPr>
        <w:numPr>
          <w:ilvl w:val="0"/>
          <w:numId w:val="12"/>
        </w:numPr>
        <w:ind w:left="0" w:firstLine="709"/>
      </w:pPr>
      <w:r>
        <w:t>Члены команды собраны в одном месте. Процесс коммуникаций более прост и эффективен. Территориально разбросанные команды могут испытывать некоторые барьеры в общении и взаимодействии, определяемые именно их физическим разделением (разные офисы, разные города и даже страны).</w:t>
      </w:r>
    </w:p>
    <w:p w:rsidR="00A10F55" w:rsidRDefault="00A10F55" w:rsidP="00A10F55">
      <w:pPr>
        <w:numPr>
          <w:ilvl w:val="0"/>
          <w:numId w:val="12"/>
        </w:numPr>
        <w:ind w:left="0" w:firstLine="709"/>
      </w:pPr>
      <w:r>
        <w:t>Проект представляет собой интересную, творческую, нетривиальную задачу, которая всем интересна. Работа над захватывающим проектом стимулирует более аффективное сотрудничество, поиск новых методов и средств решения вопросов. Члены команды гордятся принадлежностью к такому проекту.</w:t>
      </w:r>
    </w:p>
    <w:p w:rsidR="00A10F55" w:rsidRDefault="00A10F55" w:rsidP="00A10F55">
      <w:pPr>
        <w:ind w:firstLine="709"/>
      </w:pPr>
      <w:r>
        <w:t>Выполнение всех перечисленных условий в проекте - большая редкость.</w:t>
      </w:r>
    </w:p>
    <w:p w:rsidR="00A10F55" w:rsidRDefault="00A10F55" w:rsidP="00A10F55">
      <w:pPr>
        <w:ind w:firstLine="709"/>
      </w:pPr>
      <w:r>
        <w:t xml:space="preserve">Традиционная команда представляет собой стабильный коллектив, состоящий из сотрудников, подчинённых одному руководителю. Неформальная команда может состоять из сотрудников самых разных </w:t>
      </w:r>
      <w:r>
        <w:lastRenderedPageBreak/>
        <w:t>подразделений, объединённых на добровольной основе по интересам или иным причинам</w:t>
      </w:r>
    </w:p>
    <w:p w:rsidR="00A10F55" w:rsidRDefault="00A10F55" w:rsidP="00A10F55">
      <w:pPr>
        <w:ind w:firstLine="709"/>
      </w:pPr>
      <w:r>
        <w:t>При наборе членов команды проекта необходимо учитывать следующее:</w:t>
      </w:r>
    </w:p>
    <w:p w:rsidR="00A10F55" w:rsidRDefault="00A10F55" w:rsidP="00A10F55">
      <w:pPr>
        <w:numPr>
          <w:ilvl w:val="0"/>
          <w:numId w:val="13"/>
        </w:numPr>
      </w:pPr>
      <w:r>
        <w:t>Доступность - возможность привлечения специалиста на проект в запланированные сроки.</w:t>
      </w:r>
    </w:p>
    <w:p w:rsidR="00A10F55" w:rsidRDefault="00A10F55" w:rsidP="00A10F55">
      <w:pPr>
        <w:numPr>
          <w:ilvl w:val="0"/>
          <w:numId w:val="13"/>
        </w:numPr>
      </w:pPr>
      <w:r>
        <w:t>Квалификация - наличие у потенциального члена команды квалификации, отвечающей требованиям проекта.</w:t>
      </w:r>
    </w:p>
    <w:p w:rsidR="00A10F55" w:rsidRDefault="00A10F55" w:rsidP="00A10F55">
      <w:pPr>
        <w:numPr>
          <w:ilvl w:val="0"/>
          <w:numId w:val="13"/>
        </w:numPr>
      </w:pPr>
      <w:r>
        <w:t>Опыт работы - наличие опыта выполнения работы, которую планируется закрепить за потенциальным членом команды.</w:t>
      </w:r>
    </w:p>
    <w:p w:rsidR="00A10F55" w:rsidRDefault="00A10F55" w:rsidP="00A10F55">
      <w:pPr>
        <w:numPr>
          <w:ilvl w:val="0"/>
          <w:numId w:val="13"/>
        </w:numPr>
      </w:pPr>
      <w:r>
        <w:t>Заинтересованность - наличие интереса в работе над проектом.</w:t>
      </w:r>
    </w:p>
    <w:p w:rsidR="00A10F55" w:rsidRDefault="00A10F55" w:rsidP="00A10F55">
      <w:pPr>
        <w:numPr>
          <w:ilvl w:val="0"/>
          <w:numId w:val="13"/>
        </w:numPr>
      </w:pPr>
      <w:r>
        <w:t>Стоимость - величина оплаты труда потенциального члена команды</w:t>
      </w:r>
    </w:p>
    <w:p w:rsidR="00A10F55" w:rsidRDefault="00A10F55" w:rsidP="00A10F55">
      <w:pPr>
        <w:pStyle w:val="1"/>
      </w:pPr>
      <w:bookmarkStart w:id="3" w:name="_Toc87954692"/>
      <w:r>
        <w:t>Задание 5.2</w:t>
      </w:r>
      <w:bookmarkEnd w:id="3"/>
      <w:r>
        <w:t xml:space="preserve"> </w:t>
      </w:r>
    </w:p>
    <w:p w:rsidR="00A10F55" w:rsidRDefault="00A10F55" w:rsidP="00A10F55"/>
    <w:p w:rsidR="00A10F55" w:rsidRDefault="00A10F55" w:rsidP="00A10F55">
      <w:pPr>
        <w:ind w:firstLine="709"/>
        <w:rPr>
          <w:rFonts w:eastAsia="Cambria" w:cs="Times New Roman"/>
          <w:szCs w:val="28"/>
        </w:rPr>
      </w:pPr>
      <w:r>
        <w:rPr>
          <w:rFonts w:eastAsia="Cambria" w:cs="Times New Roman"/>
          <w:szCs w:val="28"/>
        </w:rPr>
        <w:t xml:space="preserve">Филиал </w:t>
      </w:r>
      <w:r>
        <w:rPr>
          <w:rFonts w:eastAsia="Times New Roman" w:cs="Times New Roman"/>
          <w:lang w:eastAsia="ru-RU"/>
        </w:rPr>
        <w:t xml:space="preserve"> ООО «Аргус-Л»</w:t>
      </w:r>
      <w:r>
        <w:rPr>
          <w:rFonts w:eastAsia="Cambria" w:cs="Times New Roman"/>
          <w:szCs w:val="28"/>
        </w:rPr>
        <w:t xml:space="preserve">  воспользуется банковским  кредитом с процентной ставкой 18% годовых на 3 года при этом погашение кредита (основного долга) начнется со второго года, а проценты за пользование кредитом будут оплачиваться каждый год, начиная с первого года. Т </w:t>
      </w:r>
    </w:p>
    <w:p w:rsidR="00A10F55" w:rsidRDefault="00A10F55" w:rsidP="00A10F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Таблица </w:t>
      </w:r>
      <w:r>
        <w:rPr>
          <w:rFonts w:eastAsia="Times New Roman" w:cs="Times New Roman"/>
          <w:spacing w:val="4"/>
          <w:szCs w:val="28"/>
          <w:lang w:eastAsia="ru-RU"/>
        </w:rPr>
        <w:t>5.2.1</w:t>
      </w:r>
      <w:r>
        <w:rPr>
          <w:rFonts w:eastAsia="Times New Roman" w:cs="Times New Roman"/>
          <w:szCs w:val="28"/>
          <w:lang w:eastAsia="ru-RU"/>
        </w:rPr>
        <w:t>– Капитальные вложения по предпринимательскому проекту</w:t>
      </w:r>
    </w:p>
    <w:p w:rsidR="00A10F55" w:rsidRDefault="00A10F55" w:rsidP="00A10F55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рублях</w:t>
      </w: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676"/>
        <w:gridCol w:w="2867"/>
        <w:gridCol w:w="1296"/>
        <w:gridCol w:w="1296"/>
        <w:gridCol w:w="1140"/>
        <w:gridCol w:w="1140"/>
        <w:gridCol w:w="1140"/>
      </w:tblGrid>
      <w:tr w:rsidR="00A10F55" w:rsidTr="00A10F55">
        <w:trPr>
          <w:trHeight w:val="300"/>
        </w:trPr>
        <w:tc>
          <w:tcPr>
            <w:tcW w:w="6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67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12" w:type="dxa"/>
            <w:gridSpan w:val="5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A10F55" w:rsidTr="00A10F5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10F55" w:rsidRDefault="00A10F55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A10F55" w:rsidRDefault="00A10F55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7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По кварталам</w:t>
            </w:r>
          </w:p>
        </w:tc>
      </w:tr>
      <w:tr w:rsidR="00A10F55" w:rsidTr="00A10F5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10F55" w:rsidRDefault="00A10F55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A10F55" w:rsidRDefault="00A10F55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10F55" w:rsidRDefault="00A10F55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 кв.</w:t>
            </w:r>
          </w:p>
        </w:tc>
      </w:tr>
      <w:tr w:rsidR="00A10F55" w:rsidTr="00A10F55">
        <w:trPr>
          <w:trHeight w:val="300"/>
        </w:trPr>
        <w:tc>
          <w:tcPr>
            <w:tcW w:w="6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10F55" w:rsidTr="00A10F55">
        <w:trPr>
          <w:trHeight w:val="555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Капитальные вложения, всего, в том числе: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71 938 745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71 938 745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A10F55" w:rsidTr="00A10F55">
        <w:trPr>
          <w:trHeight w:val="36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Монтажные работы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1 358 745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1 358 745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A10F55" w:rsidTr="00A10F55">
        <w:trPr>
          <w:trHeight w:val="36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40 580 000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40 580 000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A10F55" w:rsidTr="00A10F55">
        <w:trPr>
          <w:trHeight w:val="330"/>
        </w:trPr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Помещение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30 000 000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30 000 000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0F55" w:rsidRDefault="00A10F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</w:tbl>
    <w:p w:rsidR="00A10F55" w:rsidRDefault="00A10F55" w:rsidP="00A10F55">
      <w:pPr>
        <w:ind w:firstLine="851"/>
        <w:rPr>
          <w:rFonts w:eastAsia="Times New Roman" w:cs="Times New Roman"/>
          <w:spacing w:val="4"/>
          <w:szCs w:val="28"/>
          <w:lang w:eastAsia="ru-RU"/>
        </w:rPr>
      </w:pPr>
    </w:p>
    <w:p w:rsidR="00A10F55" w:rsidRDefault="00A10F55" w:rsidP="00A10F55">
      <w:pPr>
        <w:ind w:firstLine="851"/>
        <w:rPr>
          <w:rFonts w:eastAsia="Times New Roman" w:cs="Times New Roman"/>
          <w:spacing w:val="4"/>
          <w:szCs w:val="28"/>
          <w:lang w:eastAsia="ru-RU"/>
        </w:rPr>
      </w:pPr>
    </w:p>
    <w:p w:rsidR="00A10F55" w:rsidRDefault="00A10F55" w:rsidP="00A10F55">
      <w:pPr>
        <w:ind w:firstLine="851"/>
        <w:rPr>
          <w:rFonts w:eastAsia="Times New Roman" w:cs="Times New Roman"/>
          <w:spacing w:val="4"/>
          <w:szCs w:val="28"/>
          <w:lang w:eastAsia="ru-RU"/>
        </w:rPr>
      </w:pPr>
      <w:r>
        <w:rPr>
          <w:rFonts w:eastAsia="Times New Roman" w:cs="Times New Roman"/>
          <w:spacing w:val="4"/>
          <w:szCs w:val="28"/>
          <w:lang w:eastAsia="ru-RU"/>
        </w:rPr>
        <w:t xml:space="preserve">Общий объём инвестиций в данный инвестиционный проект составит 71 938 745 рублей: 40 580 000 рублей на покупку оборудования, </w:t>
      </w:r>
      <w:r>
        <w:rPr>
          <w:rFonts w:eastAsia="Times New Roman" w:cs="Times New Roman"/>
          <w:spacing w:val="4"/>
          <w:szCs w:val="28"/>
          <w:lang w:eastAsia="ru-RU"/>
        </w:rPr>
        <w:lastRenderedPageBreak/>
        <w:t>1 358 745 рублей на его монтаж и 30 000 000  рублей на приобретение помещения.</w:t>
      </w:r>
    </w:p>
    <w:p w:rsidR="00DF6919" w:rsidRDefault="00DF6919" w:rsidP="00DF6919"/>
    <w:p w:rsidR="0054795B" w:rsidRDefault="0054795B">
      <w:pPr>
        <w:spacing w:after="200" w:line="276" w:lineRule="auto"/>
        <w:jc w:val="left"/>
      </w:pPr>
      <w:r>
        <w:br w:type="page"/>
      </w:r>
    </w:p>
    <w:p w:rsidR="00E31E15" w:rsidRDefault="0054795B" w:rsidP="0054795B">
      <w:pPr>
        <w:pStyle w:val="1"/>
      </w:pPr>
      <w:bookmarkStart w:id="4" w:name="_Toc87954693"/>
      <w:r>
        <w:lastRenderedPageBreak/>
        <w:t>Список литературы</w:t>
      </w:r>
      <w:bookmarkEnd w:id="4"/>
    </w:p>
    <w:p w:rsidR="0054795B" w:rsidRPr="0054795B" w:rsidRDefault="0054795B" w:rsidP="0054795B"/>
    <w:p w:rsidR="0054795B" w:rsidRDefault="0054795B" w:rsidP="0054795B">
      <w:pPr>
        <w:numPr>
          <w:ilvl w:val="0"/>
          <w:numId w:val="1"/>
        </w:numPr>
        <w:ind w:left="0" w:firstLine="709"/>
      </w:pPr>
      <w:r>
        <w:t>Плошкин, В.В. Оценка и управление рисками на предприятиях: Учебное пособие / В.В. Плошкин. - Ст. Оскол: ТНТ, 2018. - 448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Рыхтикова, Н.А. Анализ и управление рисками организации: Учебное пособие / Н.А. Рыхтикова. - М.: Форум, 2019. - 240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Тепман, Л.Н. Управление инвестиционными рисками: Учебное пособие / Л.Н. Тепман, Н.Д. Эриашвили. - М.: ЮНИТИ, 2017. - 215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Тепман, Л.Н. Управление рисками в условиях финансового кризиса: Учебное пособие / Л.Н. Тепман, Н.Д. Эриашвили. - М.: ЮНИТИ, 2021. - 295 c.</w:t>
      </w:r>
    </w:p>
    <w:p w:rsidR="0054795B" w:rsidRDefault="0054795B" w:rsidP="0054795B">
      <w:pPr>
        <w:numPr>
          <w:ilvl w:val="0"/>
          <w:numId w:val="1"/>
        </w:numPr>
        <w:ind w:left="0" w:firstLine="709"/>
      </w:pPr>
      <w:r>
        <w:t>Уродовских, В.Н. Управление рисками предприятия: Учебное пособие / В.Н. Уродовских.. - М.: Вузовский учебник, ИНФРА-М, 2018. - 168 c.</w:t>
      </w:r>
    </w:p>
    <w:p w:rsidR="0054795B" w:rsidRPr="0054795B" w:rsidRDefault="0054795B" w:rsidP="0054795B"/>
    <w:sectPr w:rsidR="0054795B" w:rsidRPr="0054795B" w:rsidSect="00A10F55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28" w:rsidRDefault="00973828" w:rsidP="00A10F55">
      <w:pPr>
        <w:spacing w:line="240" w:lineRule="auto"/>
      </w:pPr>
      <w:r>
        <w:separator/>
      </w:r>
    </w:p>
  </w:endnote>
  <w:endnote w:type="continuationSeparator" w:id="0">
    <w:p w:rsidR="00973828" w:rsidRDefault="00973828" w:rsidP="00A10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506835"/>
      <w:docPartObj>
        <w:docPartGallery w:val="Page Numbers (Bottom of Page)"/>
        <w:docPartUnique/>
      </w:docPartObj>
    </w:sdtPr>
    <w:sdtContent>
      <w:p w:rsidR="00A10F55" w:rsidRDefault="00A10F55" w:rsidP="00A10F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28" w:rsidRDefault="00973828" w:rsidP="00A10F55">
      <w:pPr>
        <w:spacing w:line="240" w:lineRule="auto"/>
      </w:pPr>
      <w:r>
        <w:separator/>
      </w:r>
    </w:p>
  </w:footnote>
  <w:footnote w:type="continuationSeparator" w:id="0">
    <w:p w:rsidR="00973828" w:rsidRDefault="00973828" w:rsidP="00A10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7E0"/>
    <w:multiLevelType w:val="multilevel"/>
    <w:tmpl w:val="F4A6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B4399"/>
    <w:multiLevelType w:val="multilevel"/>
    <w:tmpl w:val="ECF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094658"/>
    <w:multiLevelType w:val="multilevel"/>
    <w:tmpl w:val="E590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D0378"/>
    <w:multiLevelType w:val="hybridMultilevel"/>
    <w:tmpl w:val="5F6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76E1F"/>
    <w:multiLevelType w:val="multilevel"/>
    <w:tmpl w:val="FABE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6551A"/>
    <w:multiLevelType w:val="multilevel"/>
    <w:tmpl w:val="2E0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F4ABD"/>
    <w:multiLevelType w:val="multilevel"/>
    <w:tmpl w:val="E43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631CD"/>
    <w:multiLevelType w:val="multilevel"/>
    <w:tmpl w:val="9B5E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7728F7"/>
    <w:multiLevelType w:val="multilevel"/>
    <w:tmpl w:val="745C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BE4789"/>
    <w:multiLevelType w:val="multilevel"/>
    <w:tmpl w:val="07CC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E74C8"/>
    <w:multiLevelType w:val="multilevel"/>
    <w:tmpl w:val="F54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42902"/>
    <w:multiLevelType w:val="multilevel"/>
    <w:tmpl w:val="E27A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6F70A2"/>
    <w:multiLevelType w:val="multilevel"/>
    <w:tmpl w:val="84D8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5B"/>
    <w:rsid w:val="0034773D"/>
    <w:rsid w:val="004418D8"/>
    <w:rsid w:val="0054795B"/>
    <w:rsid w:val="009256CB"/>
    <w:rsid w:val="00973828"/>
    <w:rsid w:val="009E16D3"/>
    <w:rsid w:val="00A10F55"/>
    <w:rsid w:val="00C75D36"/>
    <w:rsid w:val="00DF6919"/>
    <w:rsid w:val="00E3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5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10F55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F5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54795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795B"/>
    <w:pPr>
      <w:spacing w:after="100"/>
    </w:pPr>
  </w:style>
  <w:style w:type="character" w:styleId="a4">
    <w:name w:val="Hyperlink"/>
    <w:basedOn w:val="a0"/>
    <w:uiPriority w:val="99"/>
    <w:unhideWhenUsed/>
    <w:rsid w:val="00547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5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0F55"/>
    <w:rPr>
      <w:i/>
      <w:iCs/>
    </w:rPr>
  </w:style>
  <w:style w:type="paragraph" w:styleId="a8">
    <w:name w:val="header"/>
    <w:basedOn w:val="a"/>
    <w:link w:val="a9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0F55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10F5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F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D668B-A54C-4C83-AFAA-F030716A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2021-11-16T05:31:00Z</dcterms:created>
  <dcterms:modified xsi:type="dcterms:W3CDTF">2021-11-16T05:31:00Z</dcterms:modified>
</cp:coreProperties>
</file>